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99" w:type="dxa"/>
        <w:jc w:val="center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2101"/>
        <w:gridCol w:w="409"/>
        <w:gridCol w:w="2032"/>
        <w:gridCol w:w="941"/>
        <w:gridCol w:w="2208"/>
        <w:gridCol w:w="1001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9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医疗设备技术需求确认表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医用电动病床</w:t>
            </w: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总数量（台/套）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预算总金额（万元）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幼圆" w:hAnsi="幼圆" w:eastAsia="幼圆" w:cs="幼圆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技术和性能参数名称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招标参数和性能要求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*1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供住院患者病房治疗使用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*2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具备CFDA认证，具备FDA或CE认证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技术和性能参数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承重框架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冷轧矩形钢管，表面静电粉末喷涂；或采用铝合金型材，表面抗氧化处理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床面板材质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冷轧钢板一次冲压成型，钢材厚度≥1.0mm；铝合金材质厚度≥2.0mm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·3.3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操控面板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手持式操控器及床尾固定式操作面板，具备安全锁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·3.4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护栏材质、结构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Style w:val="4"/>
                <w:lang w:val="en-US" w:eastAsia="zh-CN" w:bidi="ar"/>
              </w:rPr>
              <w:t>,采用优质塑料材质吹塑成型工艺制造；2,封闭开口的缝隙≤120mm；3.隐藏式分体护栏；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床头尾档板材质和应用方式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优质塑料材质吹塑成型工艺制造。插入式固定，旋钮型锁定装置。高度≥4</w:t>
            </w:r>
            <w:r>
              <w:rPr>
                <w:rStyle w:val="4"/>
                <w:lang w:val="en-US" w:eastAsia="zh-CN" w:bidi="ar"/>
              </w:rPr>
              <w:t>00mm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·3.6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床体功能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床体防撞功能.具备四个输液杆插槽，液杆至少三个可旋转挂钩（单钩承重量≥3kg），高度可调。床尾挡板处设病历卡插槽，引流袋两侧金属挂钩。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·3.7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病床脚轮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直径≥150mm，耐蚀、耐磨、静音，防缠绕。包含三种的控制模式：万向移动、直行移动、固定。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床垫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与床面弯折匹配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，厚度≥8cm，一面椰棕一面海绵，厚度各半，材质环保，表面防水、易清洁、透气。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床面长度、宽度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2000mm±50mm，900 mm±20mm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3.10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床体离地高度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（430-790）mm±10mm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</w:t>
            </w:r>
            <w:r>
              <w:rPr>
                <w:rStyle w:val="4"/>
                <w:lang w:val="en-US" w:eastAsia="zh-CN" w:bidi="ar"/>
              </w:rPr>
              <w:t>1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各部位升降角度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背部升降≥70°；腿部升降≥25°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床头床尾挡板高度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≥400mm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病床承重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≥200Kg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·3.14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蓄电池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负载情况下断电操作次数≥5次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称重功能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精度≤0.3kg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3.16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报警及安全指标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错误操作或故障有光指示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设备不良事件情况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提供设备近三年不良事件情况（一般为厂家自报）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Style w:val="4"/>
                <w:lang w:val="en-US" w:eastAsia="zh-CN" w:bidi="ar"/>
              </w:rPr>
              <w:t>4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配置需求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病床1台/套、床垫1张/套、防坠板1张/套、床头柜（含餐板）1个/套、输液杆1个/套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售后条款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*5.1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原厂保修年限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≥3年，保修期内开机率不低于95%（按365日/年计算，含节假日)，未达到要求的开机率天数，按双倍天数顺延保修期。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*5.2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零配件支持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消耗性配件（年平均更换大于1次的配件）和高值配件（价格大于设备成交价5%以上）的报价清单，且高值配件报价之和不得高于设备成交价的110%，不在上述要求配件清单内的消耗性配件和高值配件视为免费提供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零配件保证供应时长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到位维修响应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维修到达现场时间≤0.5个工作日（京内）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维修到达现场时间≤3个工作日（京外）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*5.5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保修期外维修费用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提供免费保修期外的年度整机保修费用价格，提供维修工时费计算方法及价格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·5.6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技术支持和服务网点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提供全国主要城市售后服务网点及售后人员数量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·5.7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升级与软件维护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保修期内免费升级和软件维护；保修期外，原软件维护仅收工时费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·5.8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专用工具、资料及其它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提供设备配套的维修专用工具，资料（操作手册、维修手册等）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·5.9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提供使用培训和工程师原厂培训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5.10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交货期</w:t>
            </w:r>
          </w:p>
        </w:tc>
        <w:tc>
          <w:tcPr>
            <w:tcW w:w="5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合同签订后3个月内交货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8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备注：1.加注“*”号的技术指标为关键指标，≥1项未达到招标文件要求，即做废标处理。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2.加注“·”号的技术指标为重要指标。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3.加注“*”、“·”号的技术指标均需投标企业提供证明材料。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宋体-方正超大字符集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A007E8"/>
    <w:rsid w:val="3C4B4D9A"/>
    <w:rsid w:val="482F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">
    <w:name w:val="font15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161"/>
    <w:basedOn w:val="3"/>
    <w:qFormat/>
    <w:uiPriority w:val="0"/>
    <w:rPr>
      <w:rFonts w:hint="eastAsia" w:ascii="宋体" w:hAnsi="宋体" w:eastAsia="宋体" w:cs="宋体"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2023-05-06T02:15:00Z</dcterms:created>
  <dc:creator>doctor</dc:creator>
  <cp:lastModifiedBy>doctor</cp:lastModifiedBy>
  <dcterms:modified xsi:type="dcterms:W3CDTF">2023-06-05T09:54:45Z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